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5DB14" w14:textId="77777777" w:rsidR="00EC7647" w:rsidRPr="00767585" w:rsidRDefault="00EC7647" w:rsidP="00EC7647">
      <w:pPr>
        <w:shd w:val="clear" w:color="auto" w:fill="FFFFFF"/>
        <w:spacing w:after="100" w:afterAutospacing="1" w:line="240" w:lineRule="auto"/>
        <w:ind w:left="720" w:hanging="360"/>
        <w:jc w:val="both"/>
        <w:rPr>
          <w:rFonts w:asciiTheme="minorHAnsi" w:hAnsiTheme="minorHAnsi"/>
          <w:b/>
          <w:bCs/>
        </w:rPr>
      </w:pPr>
      <w:r w:rsidRPr="00767585">
        <w:rPr>
          <w:rFonts w:asciiTheme="minorHAnsi" w:hAnsiTheme="minorHAnsi"/>
          <w:b/>
          <w:bCs/>
        </w:rPr>
        <w:t>Terms and Conditions</w:t>
      </w:r>
    </w:p>
    <w:p w14:paraId="78724363" w14:textId="50FB09D7" w:rsidR="00EC7647" w:rsidRPr="00767585" w:rsidRDefault="00EC7647" w:rsidP="00EC7647">
      <w:pPr>
        <w:shd w:val="clear" w:color="auto" w:fill="FFFFFF"/>
        <w:spacing w:after="100" w:afterAutospacing="1" w:line="240" w:lineRule="auto"/>
        <w:ind w:left="720" w:hanging="360"/>
        <w:jc w:val="both"/>
        <w:rPr>
          <w:rFonts w:asciiTheme="minorHAnsi" w:hAnsiTheme="minorHAnsi"/>
          <w:b/>
          <w:bCs/>
        </w:rPr>
      </w:pPr>
      <w:r w:rsidRPr="00767585">
        <w:rPr>
          <w:rFonts w:asciiTheme="minorHAnsi" w:hAnsiTheme="minorHAnsi"/>
          <w:b/>
          <w:bCs/>
        </w:rPr>
        <w:t xml:space="preserve">Mortgage Contribution for </w:t>
      </w:r>
      <w:r w:rsidR="00EE3E24">
        <w:rPr>
          <w:rFonts w:asciiTheme="minorHAnsi" w:hAnsiTheme="minorHAnsi"/>
          <w:b/>
          <w:bCs/>
        </w:rPr>
        <w:t xml:space="preserve">1 </w:t>
      </w:r>
      <w:r w:rsidRPr="00767585">
        <w:rPr>
          <w:rFonts w:asciiTheme="minorHAnsi" w:hAnsiTheme="minorHAnsi"/>
          <w:b/>
          <w:bCs/>
        </w:rPr>
        <w:t xml:space="preserve">Year (based on actual mortgage), – </w:t>
      </w:r>
      <w:r w:rsidR="00E91D3A">
        <w:rPr>
          <w:rFonts w:asciiTheme="minorHAnsi" w:hAnsiTheme="minorHAnsi"/>
          <w:b/>
          <w:bCs/>
        </w:rPr>
        <w:t>Southwest</w:t>
      </w:r>
      <w:r w:rsidRPr="00767585">
        <w:rPr>
          <w:rFonts w:asciiTheme="minorHAnsi" w:hAnsiTheme="minorHAnsi"/>
          <w:b/>
          <w:bCs/>
        </w:rPr>
        <w:t xml:space="preserve"> Region</w:t>
      </w:r>
    </w:p>
    <w:p w14:paraId="529024D9" w14:textId="1B27E551" w:rsidR="00EC7647" w:rsidRPr="006A055F" w:rsidRDefault="00EC7647" w:rsidP="006A055F">
      <w:pPr>
        <w:pStyle w:val="ListParagraph"/>
        <w:numPr>
          <w:ilvl w:val="0"/>
          <w:numId w:val="1"/>
        </w:numPr>
        <w:shd w:val="clear" w:color="auto" w:fill="FFFFFF"/>
        <w:spacing w:after="100" w:afterAutospacing="1" w:line="240" w:lineRule="auto"/>
        <w:jc w:val="both"/>
        <w:rPr>
          <w:rFonts w:asciiTheme="minorHAnsi" w:eastAsia="Times New Roman" w:hAnsiTheme="minorHAnsi"/>
          <w:i/>
          <w:iCs/>
          <w:kern w:val="0"/>
          <w:lang w:eastAsia="en-GB"/>
          <w14:ligatures w14:val="none"/>
        </w:rPr>
      </w:pPr>
      <w:r w:rsidRPr="00767585">
        <w:rPr>
          <w:rFonts w:asciiTheme="minorHAnsi" w:eastAsia="Times New Roman" w:hAnsiTheme="minorHAnsi"/>
          <w:kern w:val="0"/>
          <w:lang w:eastAsia="en-GB"/>
          <w14:ligatures w14:val="none"/>
        </w:rPr>
        <w:t xml:space="preserve">This offer is available between 9am GMT </w:t>
      </w:r>
      <w:r w:rsidR="00300CF1">
        <w:rPr>
          <w:rFonts w:asciiTheme="minorHAnsi" w:eastAsia="Times New Roman" w:hAnsiTheme="minorHAnsi"/>
          <w:kern w:val="0"/>
          <w:lang w:eastAsia="en-GB"/>
          <w14:ligatures w14:val="none"/>
        </w:rPr>
        <w:t>9 October</w:t>
      </w:r>
      <w:r w:rsidR="00480A1E" w:rsidRPr="006A055F">
        <w:rPr>
          <w:rFonts w:asciiTheme="minorHAnsi" w:eastAsia="Times New Roman" w:hAnsiTheme="minorHAnsi"/>
          <w:kern w:val="0"/>
          <w:lang w:eastAsia="en-GB"/>
          <w14:ligatures w14:val="none"/>
        </w:rPr>
        <w:t xml:space="preserve"> 2</w:t>
      </w:r>
      <w:r w:rsidRPr="006A055F">
        <w:rPr>
          <w:rFonts w:asciiTheme="minorHAnsi" w:eastAsia="Times New Roman" w:hAnsiTheme="minorHAnsi"/>
          <w:kern w:val="0"/>
          <w:lang w:eastAsia="en-GB"/>
          <w14:ligatures w14:val="none"/>
        </w:rPr>
        <w:t xml:space="preserve">026 and 5pm GMT </w:t>
      </w:r>
      <w:r w:rsidR="00480A1E" w:rsidRPr="006A055F">
        <w:rPr>
          <w:rFonts w:asciiTheme="minorHAnsi" w:eastAsia="Times New Roman" w:hAnsiTheme="minorHAnsi"/>
          <w:kern w:val="0"/>
          <w:lang w:eastAsia="en-GB"/>
          <w14:ligatures w14:val="none"/>
        </w:rPr>
        <w:t>3</w:t>
      </w:r>
      <w:r w:rsidR="006A055F">
        <w:rPr>
          <w:rFonts w:asciiTheme="minorHAnsi" w:eastAsia="Times New Roman" w:hAnsiTheme="minorHAnsi"/>
          <w:kern w:val="0"/>
          <w:lang w:eastAsia="en-GB"/>
          <w14:ligatures w14:val="none"/>
        </w:rPr>
        <w:t>0</w:t>
      </w:r>
      <w:r w:rsidR="006A055F" w:rsidRPr="006A055F">
        <w:rPr>
          <w:rFonts w:asciiTheme="minorHAnsi" w:eastAsia="Times New Roman" w:hAnsiTheme="minorHAnsi"/>
          <w:kern w:val="0"/>
          <w:vertAlign w:val="superscript"/>
          <w:lang w:eastAsia="en-GB"/>
          <w14:ligatures w14:val="none"/>
        </w:rPr>
        <w:t>th</w:t>
      </w:r>
      <w:r w:rsidR="006A055F">
        <w:rPr>
          <w:rFonts w:asciiTheme="minorHAnsi" w:eastAsia="Times New Roman" w:hAnsiTheme="minorHAnsi"/>
          <w:kern w:val="0"/>
          <w:lang w:eastAsia="en-GB"/>
          <w14:ligatures w14:val="none"/>
        </w:rPr>
        <w:t xml:space="preserve"> October</w:t>
      </w:r>
      <w:r w:rsidR="00480A1E" w:rsidRPr="006A055F">
        <w:rPr>
          <w:rFonts w:asciiTheme="minorHAnsi" w:eastAsia="Times New Roman" w:hAnsiTheme="minorHAnsi"/>
          <w:kern w:val="0"/>
          <w:lang w:eastAsia="en-GB"/>
          <w14:ligatures w14:val="none"/>
        </w:rPr>
        <w:t xml:space="preserve"> 2026</w:t>
      </w:r>
      <w:r w:rsidRPr="006A055F">
        <w:rPr>
          <w:rFonts w:asciiTheme="minorHAnsi" w:eastAsia="Times New Roman" w:hAnsiTheme="minorHAnsi"/>
          <w:kern w:val="0"/>
          <w:lang w:eastAsia="en-GB"/>
          <w14:ligatures w14:val="none"/>
        </w:rPr>
        <w:t xml:space="preserve"> (both dates inclusive) (“the </w:t>
      </w:r>
      <w:r w:rsidRPr="006A055F">
        <w:rPr>
          <w:rFonts w:asciiTheme="minorHAnsi" w:eastAsia="Times New Roman" w:hAnsiTheme="minorHAnsi"/>
          <w:b/>
          <w:bCs/>
          <w:kern w:val="0"/>
          <w:lang w:eastAsia="en-GB"/>
          <w14:ligatures w14:val="none"/>
        </w:rPr>
        <w:t xml:space="preserve">Offer Period”) </w:t>
      </w:r>
      <w:r w:rsidRPr="006A055F">
        <w:rPr>
          <w:rFonts w:asciiTheme="minorHAnsi" w:eastAsia="Times New Roman" w:hAnsiTheme="minorHAnsi"/>
          <w:kern w:val="0"/>
          <w:lang w:eastAsia="en-GB"/>
          <w14:ligatures w14:val="none"/>
        </w:rPr>
        <w:t xml:space="preserve">on selected plots </w:t>
      </w:r>
      <w:r w:rsidR="00075646" w:rsidRPr="006A055F">
        <w:rPr>
          <w:rFonts w:asciiTheme="minorHAnsi" w:eastAsia="Times New Roman" w:hAnsiTheme="minorHAnsi"/>
          <w:kern w:val="0"/>
          <w:lang w:eastAsia="en-GB"/>
          <w14:ligatures w14:val="none"/>
        </w:rPr>
        <w:t xml:space="preserve">on </w:t>
      </w:r>
      <w:r w:rsidRPr="006A055F">
        <w:rPr>
          <w:rFonts w:asciiTheme="minorHAnsi" w:eastAsia="Times New Roman" w:hAnsiTheme="minorHAnsi"/>
          <w:kern w:val="0"/>
          <w:lang w:eastAsia="en-GB"/>
          <w14:ligatures w14:val="none"/>
        </w:rPr>
        <w:t>development</w:t>
      </w:r>
      <w:r w:rsidR="00075646" w:rsidRPr="006A055F">
        <w:rPr>
          <w:rFonts w:asciiTheme="minorHAnsi" w:eastAsia="Times New Roman" w:hAnsiTheme="minorHAnsi"/>
          <w:kern w:val="0"/>
          <w:lang w:eastAsia="en-GB"/>
          <w14:ligatures w14:val="none"/>
        </w:rPr>
        <w:t>s</w:t>
      </w:r>
      <w:r w:rsidRPr="006A055F">
        <w:rPr>
          <w:rFonts w:asciiTheme="minorHAnsi" w:eastAsia="Times New Roman" w:hAnsiTheme="minorHAnsi"/>
          <w:kern w:val="0"/>
          <w:lang w:eastAsia="en-GB"/>
          <w14:ligatures w14:val="none"/>
        </w:rPr>
        <w:t xml:space="preserve"> within our </w:t>
      </w:r>
      <w:r w:rsidR="00480A1E" w:rsidRPr="006A055F">
        <w:rPr>
          <w:rFonts w:asciiTheme="minorHAnsi" w:eastAsia="Times New Roman" w:hAnsiTheme="minorHAnsi"/>
          <w:kern w:val="0"/>
          <w:lang w:eastAsia="en-GB"/>
          <w14:ligatures w14:val="none"/>
        </w:rPr>
        <w:t>Southwest</w:t>
      </w:r>
      <w:r w:rsidRPr="006A055F">
        <w:rPr>
          <w:rFonts w:asciiTheme="minorHAnsi" w:eastAsia="Times New Roman" w:hAnsiTheme="minorHAnsi"/>
          <w:kern w:val="0"/>
          <w:lang w:eastAsia="en-GB"/>
          <w14:ligatures w14:val="none"/>
        </w:rPr>
        <w:t xml:space="preserve"> operating company area, and is subject to customer status and availability. these terms “</w:t>
      </w:r>
      <w:r w:rsidRPr="006A055F">
        <w:rPr>
          <w:rFonts w:asciiTheme="minorHAnsi" w:eastAsia="Times New Roman" w:hAnsiTheme="minorHAnsi"/>
          <w:b/>
          <w:bCs/>
          <w:kern w:val="0"/>
          <w:lang w:eastAsia="en-GB"/>
          <w14:ligatures w14:val="none"/>
        </w:rPr>
        <w:t>You</w:t>
      </w:r>
      <w:r w:rsidRPr="006A055F">
        <w:rPr>
          <w:rFonts w:asciiTheme="minorHAnsi" w:eastAsia="Times New Roman" w:hAnsiTheme="minorHAnsi"/>
          <w:kern w:val="0"/>
          <w:lang w:eastAsia="en-GB"/>
          <w14:ligatures w14:val="none"/>
        </w:rPr>
        <w:t>” means the customer(s) and applies if the relevant Persimmon home is being acquired by one or more persons. “</w:t>
      </w:r>
      <w:r w:rsidRPr="006A055F">
        <w:rPr>
          <w:rFonts w:asciiTheme="minorHAnsi" w:eastAsia="Times New Roman" w:hAnsiTheme="minorHAnsi"/>
          <w:b/>
          <w:bCs/>
          <w:kern w:val="0"/>
          <w:lang w:eastAsia="en-GB"/>
          <w14:ligatures w14:val="none"/>
        </w:rPr>
        <w:t>Us</w:t>
      </w:r>
      <w:r w:rsidRPr="006A055F">
        <w:rPr>
          <w:rFonts w:asciiTheme="minorHAnsi" w:eastAsia="Times New Roman" w:hAnsiTheme="minorHAnsi"/>
          <w:kern w:val="0"/>
          <w:lang w:eastAsia="en-GB"/>
          <w14:ligatures w14:val="none"/>
        </w:rPr>
        <w:t>” and “</w:t>
      </w:r>
      <w:r w:rsidRPr="006A055F">
        <w:rPr>
          <w:rFonts w:asciiTheme="minorHAnsi" w:eastAsia="Times New Roman" w:hAnsiTheme="minorHAnsi"/>
          <w:b/>
          <w:bCs/>
          <w:kern w:val="0"/>
          <w:lang w:eastAsia="en-GB"/>
          <w14:ligatures w14:val="none"/>
        </w:rPr>
        <w:t>Our</w:t>
      </w:r>
      <w:r w:rsidRPr="006A055F">
        <w:rPr>
          <w:rFonts w:asciiTheme="minorHAnsi" w:eastAsia="Times New Roman" w:hAnsiTheme="minorHAnsi"/>
          <w:kern w:val="0"/>
          <w:lang w:eastAsia="en-GB"/>
          <w14:ligatures w14:val="none"/>
        </w:rPr>
        <w:t>” are references to Persimmon. “</w:t>
      </w:r>
      <w:r w:rsidRPr="006A055F">
        <w:rPr>
          <w:rFonts w:asciiTheme="minorHAnsi" w:eastAsia="Times New Roman" w:hAnsiTheme="minorHAnsi"/>
          <w:b/>
          <w:bCs/>
          <w:kern w:val="0"/>
          <w:lang w:eastAsia="en-GB"/>
          <w14:ligatures w14:val="none"/>
        </w:rPr>
        <w:t>The Offer</w:t>
      </w:r>
      <w:r w:rsidRPr="006A055F">
        <w:rPr>
          <w:rFonts w:asciiTheme="minorHAnsi" w:eastAsia="Times New Roman" w:hAnsiTheme="minorHAnsi"/>
          <w:kern w:val="0"/>
          <w:lang w:eastAsia="en-GB"/>
          <w14:ligatures w14:val="none"/>
        </w:rPr>
        <w:t>” means the offer detailed in paragraph 3 below. The provision of the Offer is strictly subject to these terms and conditions. “</w:t>
      </w:r>
      <w:r w:rsidRPr="006A055F">
        <w:rPr>
          <w:rFonts w:asciiTheme="minorHAnsi" w:eastAsia="Times New Roman" w:hAnsiTheme="minorHAnsi"/>
          <w:b/>
          <w:bCs/>
          <w:kern w:val="0"/>
          <w:lang w:eastAsia="en-GB"/>
          <w14:ligatures w14:val="none"/>
        </w:rPr>
        <w:t>We</w:t>
      </w:r>
      <w:r w:rsidRPr="006A055F">
        <w:rPr>
          <w:rFonts w:asciiTheme="minorHAnsi" w:eastAsia="Times New Roman" w:hAnsiTheme="minorHAnsi"/>
          <w:kern w:val="0"/>
          <w:lang w:eastAsia="en-GB"/>
          <w14:ligatures w14:val="none"/>
        </w:rPr>
        <w:t xml:space="preserve">” means Us and You. For the avoidance of any doubt if You comprise more than one person and either or any of You withdraw from the purchase of the Persimmon home, the person(s) so withdrawing shall not be entitled to the Offer. </w:t>
      </w:r>
      <w:r w:rsidRPr="006A055F">
        <w:rPr>
          <w:rFonts w:asciiTheme="minorHAnsi" w:eastAsia="Times New Roman" w:hAnsiTheme="minorHAnsi"/>
          <w:i/>
          <w:iCs/>
          <w:kern w:val="0"/>
          <w:lang w:eastAsia="en-GB"/>
          <w14:ligatures w14:val="none"/>
        </w:rPr>
        <w:t>The term the Price means the purchase price that Persimmon agrees with You for the new home (disregarding this Offer and the price for any extras and additional items You agree to purchase from Us).</w:t>
      </w:r>
    </w:p>
    <w:p w14:paraId="71AC29BA" w14:textId="71BB8F59" w:rsidR="00EC7647" w:rsidRPr="00767585" w:rsidRDefault="00EC7647" w:rsidP="00EC7647">
      <w:pPr>
        <w:pStyle w:val="ListParagraph"/>
        <w:numPr>
          <w:ilvl w:val="0"/>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 xml:space="preserve">Our sales representative will let You know in writing, during the Offer Period whether or not You potentially qualify for this Offer (qualification remains subject to these terms and conditions) . To qualify for this offer You need to have entered into a reservation agreement with Us (which includes the payment of the required reservation fee) for the specific Persimmon home to which Our Offer relates no later than 5pm GMT </w:t>
      </w:r>
      <w:r w:rsidR="000C352C">
        <w:rPr>
          <w:rFonts w:asciiTheme="minorHAnsi" w:eastAsia="Times New Roman" w:hAnsiTheme="minorHAnsi"/>
          <w:kern w:val="0"/>
          <w:lang w:eastAsia="en-GB"/>
          <w14:ligatures w14:val="none"/>
        </w:rPr>
        <w:t>30</w:t>
      </w:r>
      <w:r w:rsidR="000C352C" w:rsidRPr="000C352C">
        <w:rPr>
          <w:rFonts w:asciiTheme="minorHAnsi" w:eastAsia="Times New Roman" w:hAnsiTheme="minorHAnsi"/>
          <w:kern w:val="0"/>
          <w:vertAlign w:val="superscript"/>
          <w:lang w:eastAsia="en-GB"/>
          <w14:ligatures w14:val="none"/>
        </w:rPr>
        <w:t>th</w:t>
      </w:r>
      <w:r w:rsidR="000C352C">
        <w:rPr>
          <w:rFonts w:asciiTheme="minorHAnsi" w:eastAsia="Times New Roman" w:hAnsiTheme="minorHAnsi"/>
          <w:kern w:val="0"/>
          <w:lang w:eastAsia="en-GB"/>
          <w14:ligatures w14:val="none"/>
        </w:rPr>
        <w:t xml:space="preserve"> </w:t>
      </w:r>
      <w:r w:rsidR="006A055F">
        <w:rPr>
          <w:rFonts w:asciiTheme="minorHAnsi" w:eastAsia="Times New Roman" w:hAnsiTheme="minorHAnsi"/>
          <w:kern w:val="0"/>
          <w:lang w:eastAsia="en-GB"/>
          <w14:ligatures w14:val="none"/>
        </w:rPr>
        <w:t xml:space="preserve">November </w:t>
      </w:r>
      <w:r w:rsidRPr="00767585">
        <w:rPr>
          <w:rFonts w:asciiTheme="minorHAnsi" w:eastAsia="Times New Roman" w:hAnsiTheme="minorHAnsi"/>
          <w:kern w:val="0"/>
          <w:lang w:eastAsia="en-GB"/>
          <w14:ligatures w14:val="none"/>
        </w:rPr>
        <w:t>2026 (time being of the essence).</w:t>
      </w:r>
    </w:p>
    <w:p w14:paraId="6D4A6DC7" w14:textId="031181AF" w:rsidR="00EC7647" w:rsidRPr="00767585" w:rsidRDefault="00EC7647" w:rsidP="00EC7647">
      <w:pPr>
        <w:pStyle w:val="ListParagraph"/>
        <w:numPr>
          <w:ilvl w:val="0"/>
          <w:numId w:val="1"/>
        </w:numPr>
        <w:shd w:val="clear" w:color="auto" w:fill="FFFFFF"/>
        <w:spacing w:after="100" w:afterAutospacing="1" w:line="240" w:lineRule="auto"/>
        <w:jc w:val="both"/>
        <w:rPr>
          <w:rFonts w:asciiTheme="minorHAnsi" w:hAnsiTheme="minorHAnsi"/>
          <w:kern w:val="0"/>
          <w14:ligatures w14:val="none"/>
        </w:rPr>
      </w:pPr>
      <w:r w:rsidRPr="00767585">
        <w:rPr>
          <w:rFonts w:asciiTheme="minorHAnsi" w:hAnsiTheme="minorHAnsi"/>
          <w:kern w:val="0"/>
          <w14:ligatures w14:val="none"/>
        </w:rPr>
        <w:t>The Offer comprises a financial incentive</w:t>
      </w:r>
      <w:r w:rsidR="00332AE3">
        <w:rPr>
          <w:rFonts w:asciiTheme="minorHAnsi" w:hAnsiTheme="minorHAnsi"/>
          <w:kern w:val="0"/>
          <w14:ligatures w14:val="none"/>
        </w:rPr>
        <w:t xml:space="preserve"> </w:t>
      </w:r>
      <w:r w:rsidRPr="00767585">
        <w:rPr>
          <w:rFonts w:asciiTheme="minorHAnsi" w:hAnsiTheme="minorHAnsi"/>
          <w:kern w:val="0"/>
          <w14:ligatures w14:val="none"/>
        </w:rPr>
        <w:t>and the provision of a voucher on or following completion (see clause 3.3 below) and shall:</w:t>
      </w:r>
    </w:p>
    <w:p w14:paraId="1519E222" w14:textId="5E17B0C5"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hAnsiTheme="minorHAnsi"/>
          <w:kern w:val="0"/>
          <w14:ligatures w14:val="none"/>
        </w:rPr>
      </w:pPr>
      <w:r w:rsidRPr="00767585">
        <w:rPr>
          <w:rFonts w:asciiTheme="minorHAnsi" w:hAnsiTheme="minorHAnsi"/>
          <w:kern w:val="0"/>
          <w14:ligatures w14:val="none"/>
        </w:rPr>
        <w:t>be calculated on the basis of the actual mortgage offer that You intend to accept (We will need to see evidence of the projected payments from your financial advisor or lending institution prior to legal completion). The Offer is that We shall “contribute” to Your mortgage (by way of an allowance on the Price (see Clause 6 below)) and this “contribution” shall be equal to £</w:t>
      </w:r>
      <w:r w:rsidR="001D0012">
        <w:rPr>
          <w:rFonts w:asciiTheme="minorHAnsi" w:hAnsiTheme="minorHAnsi"/>
          <w:kern w:val="0"/>
          <w14:ligatures w14:val="none"/>
        </w:rPr>
        <w:t xml:space="preserve">1000 </w:t>
      </w:r>
      <w:r w:rsidRPr="00767585">
        <w:rPr>
          <w:rFonts w:asciiTheme="minorHAnsi" w:hAnsiTheme="minorHAnsi"/>
          <w:kern w:val="0"/>
          <w14:ligatures w14:val="none"/>
        </w:rPr>
        <w:t xml:space="preserve">a month for up to a maximum of </w:t>
      </w:r>
      <w:r w:rsidR="003C0587">
        <w:rPr>
          <w:rFonts w:asciiTheme="minorHAnsi" w:hAnsiTheme="minorHAnsi"/>
          <w:kern w:val="0"/>
          <w14:ligatures w14:val="none"/>
        </w:rPr>
        <w:t>12</w:t>
      </w:r>
      <w:r w:rsidRPr="00767585">
        <w:rPr>
          <w:rFonts w:asciiTheme="minorHAnsi" w:hAnsiTheme="minorHAnsi"/>
          <w:kern w:val="0"/>
          <w14:ligatures w14:val="none"/>
        </w:rPr>
        <w:t xml:space="preserve"> months (“the Mortgage Contribution”).  Notwithstanding the foregoing (i) the Mortgage Contribution shall not in aggregate exceed £</w:t>
      </w:r>
      <w:r w:rsidR="001D0012">
        <w:rPr>
          <w:rFonts w:asciiTheme="minorHAnsi" w:hAnsiTheme="minorHAnsi"/>
          <w:kern w:val="0"/>
          <w14:ligatures w14:val="none"/>
        </w:rPr>
        <w:t>12</w:t>
      </w:r>
      <w:r w:rsidRPr="00767585">
        <w:rPr>
          <w:rFonts w:asciiTheme="minorHAnsi" w:hAnsiTheme="minorHAnsi"/>
          <w:kern w:val="0"/>
          <w14:ligatures w14:val="none"/>
        </w:rPr>
        <w:t>,000;</w:t>
      </w:r>
    </w:p>
    <w:p w14:paraId="0375D55E" w14:textId="0DFE70BC" w:rsidR="00EC7647" w:rsidRPr="00767585" w:rsidRDefault="00EC7647" w:rsidP="00EC7647">
      <w:pPr>
        <w:pStyle w:val="ListParagraph"/>
        <w:numPr>
          <w:ilvl w:val="0"/>
          <w:numId w:val="1"/>
        </w:numPr>
        <w:jc w:val="both"/>
        <w:rPr>
          <w:rFonts w:asciiTheme="minorHAnsi" w:hAnsiTheme="minorHAnsi"/>
          <w:kern w:val="0"/>
          <w14:ligatures w14:val="none"/>
        </w:rPr>
      </w:pPr>
      <w:r w:rsidRPr="00767585">
        <w:rPr>
          <w:rFonts w:asciiTheme="minorHAnsi" w:hAnsiTheme="minorHAnsi"/>
          <w:kern w:val="0"/>
          <w14:ligatures w14:val="none"/>
        </w:rPr>
        <w:t xml:space="preserve">You should speak to a Persimmon-recommended New Homes Mortgage Adviser to get a specific mortgage illustration for the property that you wish to buy. </w:t>
      </w:r>
    </w:p>
    <w:p w14:paraId="762EB880" w14:textId="7784E990" w:rsidR="00EC7647" w:rsidRPr="00767585" w:rsidRDefault="00EC7647" w:rsidP="00EC7647">
      <w:pPr>
        <w:pStyle w:val="ListParagraph"/>
        <w:numPr>
          <w:ilvl w:val="0"/>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The Offer comprises a financial incentive that will be shown on the completion statement as a “deduction” from the completion balance when you complete Your purchase of the Persimmon home (the Offer will not be given or paid to You by any other means).</w:t>
      </w:r>
    </w:p>
    <w:p w14:paraId="2E10CC1E" w14:textId="41A4CF70" w:rsidR="00EC7647" w:rsidRPr="00767585" w:rsidRDefault="00EC7647" w:rsidP="00EC7647">
      <w:pPr>
        <w:pStyle w:val="ListParagraph"/>
        <w:numPr>
          <w:ilvl w:val="0"/>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Regardless of the Offer that We say You are entitled to receive on or prior to reservation of the Persimmon home, You will not be eligible to receive and take advantage of the Offer if You purchase the Persimmon home where any one or more of the following apply:</w:t>
      </w:r>
    </w:p>
    <w:p w14:paraId="68F0DA65"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using a buy to let mortgage product; or</w:t>
      </w:r>
    </w:p>
    <w:p w14:paraId="7AF742D5"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using the First Homes Scheme or other Discount from Market Value scheme; or</w:t>
      </w:r>
    </w:p>
    <w:p w14:paraId="7ACBE607"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using any Government Help to Buy or similar scheme; or</w:t>
      </w:r>
    </w:p>
    <w:p w14:paraId="7B449619"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using any of Persimmon part exchange or home change scheme; or</w:t>
      </w:r>
    </w:p>
    <w:p w14:paraId="113F2B28"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using any shared ownership or shared equity scheme; or</w:t>
      </w:r>
    </w:p>
    <w:p w14:paraId="3F674A90"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hAnsiTheme="minorHAnsi" w:cstheme="minorBidi"/>
          <w:kern w:val="0"/>
          <w14:ligatures w14:val="none"/>
        </w:rPr>
      </w:pPr>
      <w:r w:rsidRPr="00767585">
        <w:rPr>
          <w:rFonts w:asciiTheme="minorHAnsi" w:eastAsia="Times New Roman" w:hAnsiTheme="minorHAnsi"/>
          <w:kern w:val="0"/>
          <w:lang w:eastAsia="en-GB"/>
          <w14:ligatures w14:val="none"/>
        </w:rPr>
        <w:t>where one or more of the purchasers is a corporate entity, LLP or partnership.</w:t>
      </w:r>
    </w:p>
    <w:p w14:paraId="2C791DBA" w14:textId="0046DA9A" w:rsidR="00EC7647" w:rsidRPr="00767585" w:rsidRDefault="00EC7647" w:rsidP="00EC7647">
      <w:pPr>
        <w:pStyle w:val="ListParagraph"/>
        <w:numPr>
          <w:ilvl w:val="0"/>
          <w:numId w:val="1"/>
        </w:numPr>
        <w:shd w:val="clear" w:color="auto" w:fill="FFFFFF" w:themeFill="background1"/>
        <w:spacing w:after="100" w:afterAutospacing="1" w:line="240" w:lineRule="auto"/>
        <w:jc w:val="both"/>
        <w:rPr>
          <w:rFonts w:asciiTheme="minorHAnsi" w:hAnsiTheme="minorHAnsi"/>
          <w:kern w:val="0"/>
          <w14:ligatures w14:val="none"/>
        </w:rPr>
      </w:pPr>
      <w:r w:rsidRPr="00767585">
        <w:rPr>
          <w:rFonts w:asciiTheme="minorHAnsi" w:eastAsia="Times New Roman" w:hAnsiTheme="minorHAnsi"/>
          <w:kern w:val="0"/>
          <w:lang w:eastAsia="en-GB"/>
          <w14:ligatures w14:val="none"/>
        </w:rPr>
        <w:t xml:space="preserve">Persimmon shall have sole discretion to decide whether You are entitled to the Offer provided by this scheme. Persimmon 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w:t>
      </w:r>
      <w:r w:rsidRPr="00767585">
        <w:rPr>
          <w:rFonts w:asciiTheme="minorHAnsi" w:eastAsia="Times New Roman" w:hAnsiTheme="minorHAnsi"/>
          <w:kern w:val="0"/>
          <w:lang w:eastAsia="en-GB"/>
          <w14:ligatures w14:val="none"/>
        </w:rPr>
        <w:lastRenderedPageBreak/>
        <w:t>specific Persimmon home, without prejudice though to these terms and conditions). Any suspension, cancellation or amendment will be published on Persimmon’s website.</w:t>
      </w:r>
    </w:p>
    <w:p w14:paraId="26486A7E" w14:textId="425D7B01" w:rsidR="00EC7647" w:rsidRPr="00767585" w:rsidRDefault="00EC7647" w:rsidP="00EC7647">
      <w:pPr>
        <w:pStyle w:val="ListParagraph"/>
        <w:numPr>
          <w:ilvl w:val="0"/>
          <w:numId w:val="1"/>
        </w:numPr>
        <w:shd w:val="clear" w:color="auto" w:fill="FFFFFF" w:themeFill="background1"/>
        <w:spacing w:after="100" w:afterAutospacing="1" w:line="240" w:lineRule="auto"/>
        <w:jc w:val="both"/>
        <w:rPr>
          <w:rFonts w:asciiTheme="minorHAnsi" w:hAnsiTheme="minorHAnsi"/>
          <w:kern w:val="0"/>
          <w14:ligatures w14:val="none"/>
        </w:rPr>
      </w:pPr>
      <w:r w:rsidRPr="00767585">
        <w:rPr>
          <w:rFonts w:asciiTheme="minorHAnsi" w:eastAsia="Arial" w:hAnsiTheme="minorHAnsi"/>
          <w:color w:val="000000" w:themeColor="text1"/>
        </w:rPr>
        <w:t>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ourselves and remains in force and effect) We shall be entitled to enter into a reservation agreement with any third party at any time</w:t>
      </w:r>
    </w:p>
    <w:p w14:paraId="59F1B84D" w14:textId="315532AC" w:rsidR="00EC7647" w:rsidRPr="00767585" w:rsidRDefault="00EC7647" w:rsidP="00EC7647">
      <w:pPr>
        <w:pStyle w:val="ListParagraph"/>
        <w:numPr>
          <w:ilvl w:val="0"/>
          <w:numId w:val="1"/>
        </w:numPr>
        <w:shd w:val="clear" w:color="auto" w:fill="FFFFFF" w:themeFill="background1"/>
        <w:spacing w:after="100" w:afterAutospacing="1" w:line="240" w:lineRule="auto"/>
        <w:jc w:val="both"/>
        <w:rPr>
          <w:rFonts w:asciiTheme="minorHAnsi" w:hAnsiTheme="minorHAnsi"/>
          <w:kern w:val="0"/>
          <w14:ligatures w14:val="none"/>
        </w:rPr>
      </w:pPr>
      <w:r w:rsidRPr="00767585">
        <w:rPr>
          <w:rFonts w:asciiTheme="minorHAnsi" w:hAnsiTheme="minorHAnsi"/>
          <w:kern w:val="0"/>
          <w14:ligatures w14:val="none"/>
        </w:rPr>
        <w:t>A professional legal adviser is required to carry out the legal formalities of buying the home and to represent your interests. Persimmon Homes can provide you with a list of recommended solicitors and/or financial advisers as necessary. Persimmon Homes cannot advise you on a mortgage. YOUR HOME MAY BE REPOSSESSED IF YOU DO NOT KEEP UP R</w:t>
      </w:r>
      <w:r w:rsidR="00767585">
        <w:rPr>
          <w:rFonts w:asciiTheme="minorHAnsi" w:hAnsiTheme="minorHAnsi"/>
          <w:kern w:val="0"/>
          <w14:ligatures w14:val="none"/>
        </w:rPr>
        <w:t>EPAY</w:t>
      </w:r>
      <w:r w:rsidRPr="00767585">
        <w:rPr>
          <w:rFonts w:asciiTheme="minorHAnsi" w:hAnsiTheme="minorHAnsi"/>
          <w:kern w:val="0"/>
          <w14:ligatures w14:val="none"/>
        </w:rPr>
        <w:t>MENTS ON YOUR MORTGAGE, YOUR EQUITY LOAN OR OTHER DEBT SECURED ON IT</w:t>
      </w:r>
    </w:p>
    <w:sectPr w:rsidR="00EC7647" w:rsidRPr="007675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21EBD"/>
    <w:multiLevelType w:val="multilevel"/>
    <w:tmpl w:val="FB7E9E6C"/>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ascii="Arial" w:hAnsi="Arial" w:cs="Arial"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EF701A6"/>
    <w:multiLevelType w:val="multilevel"/>
    <w:tmpl w:val="1E38C18A"/>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asciiTheme="minorHAnsi" w:hAnsiTheme="minorHAnsi" w:cs="Arial"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298073028">
    <w:abstractNumId w:val="1"/>
  </w:num>
  <w:num w:numId="2" w16cid:durableId="1575240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647"/>
    <w:rsid w:val="00075646"/>
    <w:rsid w:val="000C352C"/>
    <w:rsid w:val="00166C8D"/>
    <w:rsid w:val="001D0012"/>
    <w:rsid w:val="00211BF3"/>
    <w:rsid w:val="00296725"/>
    <w:rsid w:val="00300CF1"/>
    <w:rsid w:val="00332AE3"/>
    <w:rsid w:val="00385579"/>
    <w:rsid w:val="003C0587"/>
    <w:rsid w:val="00480A1E"/>
    <w:rsid w:val="00606049"/>
    <w:rsid w:val="006A055F"/>
    <w:rsid w:val="006B56F3"/>
    <w:rsid w:val="0076553A"/>
    <w:rsid w:val="00767585"/>
    <w:rsid w:val="00921A54"/>
    <w:rsid w:val="009327A3"/>
    <w:rsid w:val="00A06C4C"/>
    <w:rsid w:val="00A36A91"/>
    <w:rsid w:val="00BB1A25"/>
    <w:rsid w:val="00CC314A"/>
    <w:rsid w:val="00CD7407"/>
    <w:rsid w:val="00E91D3A"/>
    <w:rsid w:val="00EC37E2"/>
    <w:rsid w:val="00EC7647"/>
    <w:rsid w:val="00EE3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8453A"/>
  <w15:chartTrackingRefBased/>
  <w15:docId w15:val="{E450C8BE-AB88-4C73-A9A6-270AA10E0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647"/>
    <w:pPr>
      <w:spacing w:line="259" w:lineRule="auto"/>
    </w:pPr>
    <w:rPr>
      <w:rFonts w:ascii="Arial" w:hAnsi="Arial" w:cs="Arial"/>
      <w:sz w:val="22"/>
      <w:szCs w:val="22"/>
    </w:rPr>
  </w:style>
  <w:style w:type="paragraph" w:styleId="Heading1">
    <w:name w:val="heading 1"/>
    <w:basedOn w:val="Normal"/>
    <w:next w:val="Normal"/>
    <w:link w:val="Heading1Char"/>
    <w:uiPriority w:val="9"/>
    <w:qFormat/>
    <w:rsid w:val="00EC76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76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76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6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6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6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6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6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6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6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76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76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76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76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76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76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76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7647"/>
    <w:rPr>
      <w:rFonts w:eastAsiaTheme="majorEastAsia" w:cstheme="majorBidi"/>
      <w:color w:val="272727" w:themeColor="text1" w:themeTint="D8"/>
    </w:rPr>
  </w:style>
  <w:style w:type="paragraph" w:styleId="Title">
    <w:name w:val="Title"/>
    <w:basedOn w:val="Normal"/>
    <w:next w:val="Normal"/>
    <w:link w:val="TitleChar"/>
    <w:uiPriority w:val="10"/>
    <w:qFormat/>
    <w:rsid w:val="00EC76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6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6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6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647"/>
    <w:pPr>
      <w:spacing w:before="160"/>
      <w:jc w:val="center"/>
    </w:pPr>
    <w:rPr>
      <w:i/>
      <w:iCs/>
      <w:color w:val="404040" w:themeColor="text1" w:themeTint="BF"/>
    </w:rPr>
  </w:style>
  <w:style w:type="character" w:customStyle="1" w:styleId="QuoteChar">
    <w:name w:val="Quote Char"/>
    <w:basedOn w:val="DefaultParagraphFont"/>
    <w:link w:val="Quote"/>
    <w:uiPriority w:val="29"/>
    <w:rsid w:val="00EC7647"/>
    <w:rPr>
      <w:i/>
      <w:iCs/>
      <w:color w:val="404040" w:themeColor="text1" w:themeTint="BF"/>
    </w:rPr>
  </w:style>
  <w:style w:type="paragraph" w:styleId="ListParagraph">
    <w:name w:val="List Paragraph"/>
    <w:basedOn w:val="Normal"/>
    <w:uiPriority w:val="34"/>
    <w:qFormat/>
    <w:rsid w:val="00EC7647"/>
    <w:pPr>
      <w:ind w:left="720"/>
      <w:contextualSpacing/>
    </w:pPr>
  </w:style>
  <w:style w:type="character" w:styleId="IntenseEmphasis">
    <w:name w:val="Intense Emphasis"/>
    <w:basedOn w:val="DefaultParagraphFont"/>
    <w:uiPriority w:val="21"/>
    <w:qFormat/>
    <w:rsid w:val="00EC7647"/>
    <w:rPr>
      <w:i/>
      <w:iCs/>
      <w:color w:val="0F4761" w:themeColor="accent1" w:themeShade="BF"/>
    </w:rPr>
  </w:style>
  <w:style w:type="paragraph" w:styleId="IntenseQuote">
    <w:name w:val="Intense Quote"/>
    <w:basedOn w:val="Normal"/>
    <w:next w:val="Normal"/>
    <w:link w:val="IntenseQuoteChar"/>
    <w:uiPriority w:val="30"/>
    <w:qFormat/>
    <w:rsid w:val="00EC76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647"/>
    <w:rPr>
      <w:i/>
      <w:iCs/>
      <w:color w:val="0F4761" w:themeColor="accent1" w:themeShade="BF"/>
    </w:rPr>
  </w:style>
  <w:style w:type="character" w:styleId="IntenseReference">
    <w:name w:val="Intense Reference"/>
    <w:basedOn w:val="DefaultParagraphFont"/>
    <w:uiPriority w:val="32"/>
    <w:qFormat/>
    <w:rsid w:val="00EC76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4fa61b-b007-41b3-9033-6a130b26ca4c">
      <Terms xmlns="http://schemas.microsoft.com/office/infopath/2007/PartnerControls"/>
    </lcf76f155ced4ddcb4097134ff3c332f>
    <TaxCatchAll xmlns="576a85e5-9bb1-4d0e-bd80-24f3c40a3d9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FCA9BD3A3D134F8D2CA80E70ACDB7D" ma:contentTypeVersion="12" ma:contentTypeDescription="Create a new document." ma:contentTypeScope="" ma:versionID="61ef7889613c49b29a9153f64370de40">
  <xsd:schema xmlns:xsd="http://www.w3.org/2001/XMLSchema" xmlns:xs="http://www.w3.org/2001/XMLSchema" xmlns:p="http://schemas.microsoft.com/office/2006/metadata/properties" xmlns:ns2="a74fa61b-b007-41b3-9033-6a130b26ca4c" xmlns:ns3="576a85e5-9bb1-4d0e-bd80-24f3c40a3d95" targetNamespace="http://schemas.microsoft.com/office/2006/metadata/properties" ma:root="true" ma:fieldsID="ccc570efa624fb739e0784b858c4cfb8" ns2:_="" ns3:_="">
    <xsd:import namespace="a74fa61b-b007-41b3-9033-6a130b26ca4c"/>
    <xsd:import namespace="576a85e5-9bb1-4d0e-bd80-24f3c40a3d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4fa61b-b007-41b3-9033-6a130b26c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6a85e5-9bb1-4d0e-bd80-24f3c40a3d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47624e-f11f-400b-945d-6a1a12a69510}" ma:internalName="TaxCatchAll" ma:showField="CatchAllData" ma:web="576a85e5-9bb1-4d0e-bd80-24f3c40a3d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37A775-316E-41AB-AC7E-E36A87569D5C}">
  <ds:schemaRefs>
    <ds:schemaRef ds:uri="http://schemas.microsoft.com/sharepoint/v3/contenttype/forms"/>
  </ds:schemaRefs>
</ds:datastoreItem>
</file>

<file path=customXml/itemProps2.xml><?xml version="1.0" encoding="utf-8"?>
<ds:datastoreItem xmlns:ds="http://schemas.openxmlformats.org/officeDocument/2006/customXml" ds:itemID="{7B7C76B2-3110-4520-88C9-C6B3D1E32F67}">
  <ds:schemaRefs>
    <ds:schemaRef ds:uri="http://schemas.microsoft.com/office/2006/metadata/properties"/>
    <ds:schemaRef ds:uri="http://schemas.microsoft.com/office/infopath/2007/PartnerControls"/>
    <ds:schemaRef ds:uri="a74fa61b-b007-41b3-9033-6a130b26ca4c"/>
    <ds:schemaRef ds:uri="576a85e5-9bb1-4d0e-bd80-24f3c40a3d95"/>
  </ds:schemaRefs>
</ds:datastoreItem>
</file>

<file path=customXml/itemProps3.xml><?xml version="1.0" encoding="utf-8"?>
<ds:datastoreItem xmlns:ds="http://schemas.openxmlformats.org/officeDocument/2006/customXml" ds:itemID="{001DE3FB-DC74-4B9C-9AFA-5A12F1AB4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4fa61b-b007-41b3-9033-6a130b26ca4c"/>
    <ds:schemaRef ds:uri="576a85e5-9bb1-4d0e-bd80-24f3c40a3d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706</Words>
  <Characters>4026</Characters>
  <Application>Microsoft Office Word</Application>
  <DocSecurity>0</DocSecurity>
  <Lines>33</Lines>
  <Paragraphs>9</Paragraphs>
  <ScaleCrop>false</ScaleCrop>
  <Company>Persimmon Homes PLC</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Almeida, Vitor Oliveira</dc:creator>
  <cp:keywords/>
  <dc:description/>
  <cp:lastModifiedBy>Greenslade, Karen</cp:lastModifiedBy>
  <cp:revision>3</cp:revision>
  <dcterms:created xsi:type="dcterms:W3CDTF">2026-10-09T13:36:00Z</dcterms:created>
  <dcterms:modified xsi:type="dcterms:W3CDTF">2026-10-09T13:37:00Z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0x010100E3FCA9BD3A3D134F8D2CA80E70ACDB7D</vt:lpwstr>
  </property>
  <property fmtid="{D5CDD505-2E9C-101B-9397-08002B2CF9AE}" pid="3" name="MediaServiceImageTags">
    <vt:lpwstr/>
  </property>
</Properties>
</file>