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26260C06"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 xml:space="preserve">Mortgage Contribution for </w:t>
      </w:r>
      <w:r w:rsidR="00F32185">
        <w:rPr>
          <w:rFonts w:asciiTheme="minorHAnsi" w:hAnsiTheme="minorHAnsi"/>
          <w:b/>
          <w:bCs/>
        </w:rPr>
        <w:t>1</w:t>
      </w:r>
      <w:r w:rsidRPr="00767585">
        <w:rPr>
          <w:rFonts w:asciiTheme="minorHAnsi" w:hAnsiTheme="minorHAnsi"/>
          <w:b/>
          <w:bCs/>
        </w:rPr>
        <w:t xml:space="preserve"> Year (based on actual mortgage), Flooring Throughout &amp; £</w:t>
      </w:r>
      <w:r w:rsidR="00E91D3A">
        <w:rPr>
          <w:rFonts w:asciiTheme="minorHAnsi" w:hAnsiTheme="minorHAnsi"/>
          <w:b/>
          <w:bCs/>
        </w:rPr>
        <w:t>2</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7777777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 (see clause 3.1 below and the provision and fitting by Us of Range 1 carpets and vinyl flooring (see clause 3.2 below) and the provision of a voucher on or following completion (see clause 3.3 below) and shall:</w:t>
      </w:r>
    </w:p>
    <w:p w14:paraId="1519E222" w14:textId="56DF4531"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w:t>
      </w:r>
      <w:r w:rsidR="00F32185">
        <w:rPr>
          <w:rFonts w:asciiTheme="minorHAnsi" w:hAnsiTheme="minorHAnsi"/>
          <w:kern w:val="0"/>
          <w14:ligatures w14:val="none"/>
        </w:rPr>
        <w:t>12</w:t>
      </w:r>
      <w:r w:rsidRPr="00767585">
        <w:rPr>
          <w:rFonts w:asciiTheme="minorHAnsi" w:hAnsiTheme="minorHAnsi"/>
          <w:kern w:val="0"/>
          <w14:ligatures w14:val="none"/>
        </w:rPr>
        <w:t xml:space="preserve"> months (“the Mortgage Contribution”).  Notwithstanding the foregoing (i) the Mortgage Contribution shall not in aggregate exceed £</w:t>
      </w:r>
      <w:r w:rsidR="00F32185">
        <w:rPr>
          <w:rFonts w:asciiTheme="minorHAnsi" w:hAnsiTheme="minorHAnsi"/>
          <w:kern w:val="0"/>
          <w14:ligatures w14:val="none"/>
        </w:rPr>
        <w:t>6</w:t>
      </w:r>
      <w:r w:rsidRPr="00767585">
        <w:rPr>
          <w:rFonts w:asciiTheme="minorHAnsi" w:hAnsiTheme="minorHAnsi"/>
          <w:kern w:val="0"/>
          <w14:ligatures w14:val="none"/>
        </w:rPr>
        <w:t>,000;</w:t>
      </w:r>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82E7A"/>
    <w:rsid w:val="00385579"/>
    <w:rsid w:val="00480A1E"/>
    <w:rsid w:val="00606049"/>
    <w:rsid w:val="006B56F3"/>
    <w:rsid w:val="00767585"/>
    <w:rsid w:val="00921A54"/>
    <w:rsid w:val="009E6D24"/>
    <w:rsid w:val="00A06C4C"/>
    <w:rsid w:val="00BB1A25"/>
    <w:rsid w:val="00E91D3A"/>
    <w:rsid w:val="00EC37E2"/>
    <w:rsid w:val="00EC7647"/>
    <w:rsid w:val="00F32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2.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4452</Characters>
  <Application>Microsoft Office Word</Application>
  <DocSecurity>0</DocSecurity>
  <Lines>37</Lines>
  <Paragraphs>10</Paragraphs>
  <ScaleCrop>false</ScaleCrop>
  <Company>Persimmon Homes PLC</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3</cp:revision>
  <dcterms:created xsi:type="dcterms:W3CDTF">2026-04-21T07:45:00Z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